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9F" w:rsidRPr="0076079F" w:rsidRDefault="00494FF5" w:rsidP="0076079F">
      <w:pPr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Таблица 10</w:t>
      </w:r>
    </w:p>
    <w:p w:rsidR="0076079F" w:rsidRPr="0076079F" w:rsidRDefault="0076079F" w:rsidP="0076079F">
      <w:pPr>
        <w:jc w:val="center"/>
        <w:rPr>
          <w:b/>
          <w:sz w:val="20"/>
          <w:szCs w:val="20"/>
        </w:rPr>
      </w:pPr>
      <w:r w:rsidRPr="0076079F">
        <w:rPr>
          <w:b/>
          <w:sz w:val="20"/>
          <w:szCs w:val="20"/>
        </w:rPr>
        <w:t>Особенности оценки личностных, метапредметных и предметных результатов</w:t>
      </w:r>
    </w:p>
    <w:p w:rsidR="0076079F" w:rsidRPr="0076079F" w:rsidRDefault="0076079F" w:rsidP="0076079F">
      <w:pPr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4581"/>
        <w:gridCol w:w="4581"/>
        <w:gridCol w:w="4584"/>
      </w:tblGrid>
      <w:tr w:rsidR="0076079F" w:rsidRPr="0076079F" w:rsidTr="00D41BEB">
        <w:tc>
          <w:tcPr>
            <w:tcW w:w="598" w:type="pct"/>
            <w:vMerge w:val="restart"/>
          </w:tcPr>
          <w:p w:rsidR="0076079F" w:rsidRPr="0076079F" w:rsidRDefault="0076079F" w:rsidP="00D41BEB">
            <w:pPr>
              <w:jc w:val="center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ФГОС ООО</w:t>
            </w:r>
          </w:p>
        </w:tc>
        <w:tc>
          <w:tcPr>
            <w:tcW w:w="4402" w:type="pct"/>
            <w:gridSpan w:val="3"/>
          </w:tcPr>
          <w:p w:rsidR="0076079F" w:rsidRPr="0076079F" w:rsidRDefault="0076079F" w:rsidP="00D41BEB">
            <w:pPr>
              <w:jc w:val="center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Примерная ООП общеобразовательного учреждения. Основная школа</w:t>
            </w:r>
          </w:p>
        </w:tc>
      </w:tr>
      <w:tr w:rsidR="0076079F" w:rsidRPr="0076079F" w:rsidTr="00D41BEB">
        <w:tc>
          <w:tcPr>
            <w:tcW w:w="598" w:type="pct"/>
            <w:vMerge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</w:p>
        </w:tc>
        <w:tc>
          <w:tcPr>
            <w:tcW w:w="1467" w:type="pct"/>
          </w:tcPr>
          <w:p w:rsidR="0076079F" w:rsidRPr="0076079F" w:rsidRDefault="0076079F" w:rsidP="00D41BEB">
            <w:pPr>
              <w:jc w:val="center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Личностные</w:t>
            </w:r>
          </w:p>
        </w:tc>
        <w:tc>
          <w:tcPr>
            <w:tcW w:w="1467" w:type="pct"/>
          </w:tcPr>
          <w:p w:rsidR="0076079F" w:rsidRPr="0076079F" w:rsidRDefault="0076079F" w:rsidP="00D41BEB">
            <w:pPr>
              <w:jc w:val="center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1467" w:type="pct"/>
          </w:tcPr>
          <w:p w:rsidR="0076079F" w:rsidRPr="0076079F" w:rsidRDefault="0076079F" w:rsidP="00D41BEB">
            <w:pPr>
              <w:jc w:val="center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Предметные</w:t>
            </w:r>
          </w:p>
        </w:tc>
      </w:tr>
      <w:tr w:rsidR="0076079F" w:rsidRPr="0076079F" w:rsidTr="00D41BEB">
        <w:tc>
          <w:tcPr>
            <w:tcW w:w="598" w:type="pct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Объект 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Основным объектом оценки личностных результатов служит сформированность универсальных учебных действий, включаемых в следующие три основные блока:</w:t>
            </w:r>
          </w:p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1) сформированность основ гражданской идентичности личности;</w:t>
            </w:r>
          </w:p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2) готовность к переходу к самообразованию на основе учебно-познавательной мотивации, в том числе готовность к выбору направления профильного образования;</w:t>
            </w:r>
          </w:p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3) сформированность социальных компетенций, включая ценностно-смысловые установки и моральные нормы, опыт социальных и межличностных отношений, правосознание.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ind w:left="12" w:firstLine="18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Основным объектом оценки метапредметных результатов является: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способность и готовность к освоению систематических знаний, их самостоятельному пополнению, переносу и интеграции;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способность к сотрудничеству и коммуникации;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способность к решению личностно и социально значимых проблем и воплощению найденных решений в практику;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способность и готовность к использованию ИКТ в целях обучения и развития;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способность к самоорганизации, саморегуляции и рефлексии.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Основным объектом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– метапредметных (познавательных, регулятивных, коммуникативных) действий.</w:t>
            </w:r>
          </w:p>
        </w:tc>
      </w:tr>
      <w:tr w:rsidR="0076079F" w:rsidRPr="0076079F" w:rsidTr="00D41BEB">
        <w:tc>
          <w:tcPr>
            <w:tcW w:w="598" w:type="pct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Процедуры 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В текущем образовательном процессе возможна ограниченная оценка сформированности отдельных личностных результатов, проявляющихся в</w:t>
            </w:r>
          </w:p>
          <w:p w:rsidR="0076079F" w:rsidRPr="0076079F" w:rsidRDefault="0076079F" w:rsidP="0076079F">
            <w:pPr>
              <w:numPr>
                <w:ilvl w:val="0"/>
                <w:numId w:val="1"/>
              </w:numPr>
              <w:tabs>
                <w:tab w:val="clear" w:pos="794"/>
                <w:tab w:val="num" w:pos="432"/>
              </w:tabs>
              <w:ind w:firstLine="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соблюдении норм и правил поведения, принятых в образовательном учреждении;</w:t>
            </w:r>
          </w:p>
          <w:p w:rsidR="0076079F" w:rsidRPr="0076079F" w:rsidRDefault="0076079F" w:rsidP="0076079F">
            <w:pPr>
              <w:numPr>
                <w:ilvl w:val="0"/>
                <w:numId w:val="1"/>
              </w:numPr>
              <w:tabs>
                <w:tab w:val="clear" w:pos="794"/>
                <w:tab w:val="num" w:pos="432"/>
              </w:tabs>
              <w:ind w:firstLine="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участии в общественной жизни образовательного учреждения и ближайшего социального окружения, общественно-полезной деятельности;</w:t>
            </w:r>
          </w:p>
          <w:p w:rsidR="0076079F" w:rsidRPr="0076079F" w:rsidRDefault="0076079F" w:rsidP="0076079F">
            <w:pPr>
              <w:numPr>
                <w:ilvl w:val="0"/>
                <w:numId w:val="1"/>
              </w:numPr>
              <w:tabs>
                <w:tab w:val="clear" w:pos="794"/>
                <w:tab w:val="num" w:pos="432"/>
              </w:tabs>
              <w:ind w:firstLine="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прилежании и ответственности за результаты обучения;</w:t>
            </w:r>
          </w:p>
          <w:p w:rsidR="0076079F" w:rsidRPr="0076079F" w:rsidRDefault="0076079F" w:rsidP="0076079F">
            <w:pPr>
              <w:numPr>
                <w:ilvl w:val="0"/>
                <w:numId w:val="1"/>
              </w:numPr>
              <w:tabs>
                <w:tab w:val="clear" w:pos="794"/>
                <w:tab w:val="num" w:pos="432"/>
              </w:tabs>
              <w:ind w:firstLine="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готовности и способности делать осознанный выбор своей образовательной траектории, в том числе – выбор направления профильного образования, проектирование индивидуального учебного плана на старшей ступени общего образования;</w:t>
            </w:r>
          </w:p>
          <w:p w:rsidR="0076079F" w:rsidRPr="0076079F" w:rsidRDefault="0076079F" w:rsidP="0076079F">
            <w:pPr>
              <w:numPr>
                <w:ilvl w:val="0"/>
                <w:numId w:val="1"/>
              </w:numPr>
              <w:tabs>
                <w:tab w:val="clear" w:pos="794"/>
                <w:tab w:val="num" w:pos="432"/>
              </w:tabs>
              <w:ind w:firstLine="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ценностно-смысловых установках обучающихся, формируемых средствами различных предметов в рамках системы общего образования.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ind w:firstLine="37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результатов является защита итогового индивидуального проекта.</w:t>
            </w:r>
          </w:p>
          <w:p w:rsidR="0076079F" w:rsidRPr="0076079F" w:rsidRDefault="0076079F" w:rsidP="00D41BEB">
            <w:pPr>
              <w:ind w:firstLine="37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Дополнительным источником данных о достижении отдельных метапредметных результатов могут служить результаты выполнения проверочных работ (как правило, тематических) по всем предметам.</w:t>
            </w:r>
          </w:p>
          <w:p w:rsidR="0076079F" w:rsidRPr="0076079F" w:rsidRDefault="0076079F" w:rsidP="00D41BEB">
            <w:pPr>
              <w:ind w:firstLine="37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например, уровень сформированности навыков сотрудничества или самоорганизации.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ind w:firstLine="31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Для оценки динамики формирования предметных результатов в системе внутришкольного мониторинга образовательных достижений целесообразно фиксировать и анализировать данные о сформированности умений и навыков, способствующих освоению систематических знаний, в том числе: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первичному ознакомлению, отработке и осознанию теоретических моделей и понятий (общенаучных и базовых для данной области знания), стандартных алгоритмов;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выявлению и осознанию сущности и особенностей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 и использованию моделей изучаемых объектов и процессов, схем;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выявлению и анализу существенных и устойчивых связей и отношений между объектами и процессами.</w:t>
            </w:r>
          </w:p>
        </w:tc>
      </w:tr>
      <w:tr w:rsidR="0076079F" w:rsidRPr="0076079F" w:rsidTr="00D41BEB">
        <w:tc>
          <w:tcPr>
            <w:tcW w:w="598" w:type="pct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Состав инструментария оценивания 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ind w:firstLine="37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В состав инструментария целесообразно включить материалы: 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стартовой диагностики;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lastRenderedPageBreak/>
              <w:t>текущего выполнения учебных исследований и учебных проектов;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промежуточных и итоговых комплексных работ на </w:t>
            </w:r>
            <w:proofErr w:type="spellStart"/>
            <w:r w:rsidRPr="0076079F">
              <w:rPr>
                <w:sz w:val="20"/>
                <w:szCs w:val="20"/>
              </w:rPr>
              <w:t>межпредметной</w:t>
            </w:r>
            <w:proofErr w:type="spellEnd"/>
            <w:r w:rsidRPr="0076079F">
              <w:rPr>
                <w:sz w:val="20"/>
                <w:szCs w:val="20"/>
              </w:rPr>
              <w:t xml:space="preserve"> основе,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материалы текущего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способности к решению личностно и социально значимых проблем и воплощению решений в практику; о способности и готовности к использованию ИКТ в целях обучения и развития; способности к самоорганизации, саморегуляции и рефлексии;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защиты итогового индивидуального проекта.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ind w:firstLine="31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lastRenderedPageBreak/>
              <w:t>Обязательными составляющими системы накопленной оценки являются материалы: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стартовой диагностики;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lastRenderedPageBreak/>
              <w:t>тематических и итоговых проверочных работ по всем учебным предметам;</w:t>
            </w:r>
          </w:p>
          <w:p w:rsidR="0076079F" w:rsidRPr="0076079F" w:rsidRDefault="0076079F" w:rsidP="0076079F">
            <w:pPr>
              <w:numPr>
                <w:ilvl w:val="0"/>
                <w:numId w:val="2"/>
              </w:numPr>
              <w:tabs>
                <w:tab w:val="clear" w:pos="1080"/>
                <w:tab w:val="num" w:pos="552"/>
              </w:tabs>
              <w:ind w:left="12" w:firstLine="360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творческих работ, включая учебные исследования и учебные проекты.</w:t>
            </w:r>
          </w:p>
        </w:tc>
      </w:tr>
      <w:tr w:rsidR="0076079F" w:rsidRPr="0076079F" w:rsidTr="00D41BEB">
        <w:tc>
          <w:tcPr>
            <w:tcW w:w="598" w:type="pct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lastRenderedPageBreak/>
              <w:t xml:space="preserve">Формы представления результатов 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Данные о достижении этих результатов могут являться составляющими накопленной оценки, однако любое их использование (в том числе, в целях аккредитации образовательного учреждения) возможно только в соответствии с федеральным законом от 17.07.2006 №152-ФЗ «О персональных данных». В текущем учебном процессе в соответствии с требованиями Стандарта оценка этих достижений должна проводиться в форме, не представляющей угрозы личности, психологической безопасности и эмоциональному статусу учащегося и может использоваться исключительно в целях оптимизации личностного развития обучающихся.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tabs>
                <w:tab w:val="left" w:pos="357"/>
              </w:tabs>
              <w:suppressAutoHyphens/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Результаты выполненного проекта могут быть описаны на основе интегрального (уровневого) подхода или на основе аналитического подхода [1, с. 111-114].</w:t>
            </w:r>
          </w:p>
          <w:p w:rsidR="0076079F" w:rsidRPr="0076079F" w:rsidRDefault="0076079F" w:rsidP="00D41BEB">
            <w:pPr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При этом в соответствии с принятой системой оценки целесообразно выделять два уровня сформированности навыков проектной деятельности: базовый и повышенный. Главное отличие выделенных уровней состоит в степени самостоятельности учащегося в ходе выполнении проекта, поэтому выявление и фиксация в ходе защиты того, что учащийся способен выполнять самостоятельно, а что – только с помощью руководителя проекта, является основной задачей оценочной деятельности.</w:t>
            </w:r>
          </w:p>
          <w:p w:rsidR="0076079F" w:rsidRPr="0076079F" w:rsidRDefault="0076079F" w:rsidP="00D41BEB">
            <w:pPr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– аттестат об основном общем образовании – отметка выставляется в свободную строку.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tabs>
                <w:tab w:val="left" w:pos="357"/>
              </w:tabs>
              <w:suppressAutoHyphens/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Система оценки предметных результатов освоения учебных программ с учетом уровневого подхода, принятого в Стандарте, предполагает выделение базового уровня достижений как точки отсчета при построении всей системы оценки и организации индивидуальной работы с учащимися. </w:t>
            </w:r>
          </w:p>
          <w:p w:rsidR="0076079F" w:rsidRPr="0076079F" w:rsidRDefault="0076079F" w:rsidP="00D41BEB">
            <w:pPr>
              <w:tabs>
                <w:tab w:val="left" w:pos="357"/>
              </w:tabs>
              <w:suppressAutoHyphens/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Реальные достижения учащихся могут соответствовать базовому уровню, а могут отличаться от него как в сторону превышения, так и в сторону </w:t>
            </w:r>
            <w:proofErr w:type="spellStart"/>
            <w:r w:rsidRPr="0076079F">
              <w:rPr>
                <w:sz w:val="20"/>
                <w:szCs w:val="20"/>
              </w:rPr>
              <w:t>недостижения</w:t>
            </w:r>
            <w:proofErr w:type="spellEnd"/>
            <w:r w:rsidRPr="0076079F">
              <w:rPr>
                <w:sz w:val="20"/>
                <w:szCs w:val="20"/>
              </w:rPr>
              <w:t>.</w:t>
            </w:r>
          </w:p>
          <w:p w:rsidR="0076079F" w:rsidRPr="0076079F" w:rsidRDefault="0076079F" w:rsidP="00D41BEB">
            <w:pPr>
              <w:tabs>
                <w:tab w:val="left" w:pos="357"/>
              </w:tabs>
              <w:suppressAutoHyphens/>
              <w:ind w:firstLine="19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Практика показывает, что для описания достижений учащихся целесообразно установить следующие пять уровней [1, с. 115-116].</w:t>
            </w:r>
          </w:p>
          <w:p w:rsidR="0076079F" w:rsidRPr="0076079F" w:rsidRDefault="0076079F" w:rsidP="00D41BEB">
            <w:pPr>
              <w:ind w:firstLine="312"/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Решение о достижении или </w:t>
            </w:r>
            <w:proofErr w:type="spellStart"/>
            <w:r w:rsidRPr="0076079F">
              <w:rPr>
                <w:sz w:val="20"/>
                <w:szCs w:val="20"/>
              </w:rPr>
              <w:t>недостижении</w:t>
            </w:r>
            <w:proofErr w:type="spellEnd"/>
            <w:r w:rsidRPr="0076079F">
              <w:rPr>
                <w:sz w:val="20"/>
                <w:szCs w:val="20"/>
              </w:rPr>
              <w:t xml:space="preserve"> планируемых результатов или об освоении или </w:t>
            </w:r>
            <w:proofErr w:type="spellStart"/>
            <w:r w:rsidRPr="0076079F">
              <w:rPr>
                <w:sz w:val="20"/>
                <w:szCs w:val="20"/>
              </w:rPr>
              <w:t>неосвоении</w:t>
            </w:r>
            <w:proofErr w:type="spellEnd"/>
            <w:r w:rsidRPr="0076079F">
              <w:rPr>
                <w:sz w:val="20"/>
                <w:szCs w:val="20"/>
              </w:rPr>
              <w:t xml:space="preserve"> учебного материала принимается на основе результатов выполнения заданий базового уровня. В период введения Стандарт критерий достижения/освоения учебного материала задаётся как выполнение не менее 50% заданий базового уровня или получение 50% от </w:t>
            </w:r>
            <w:r w:rsidRPr="0076079F">
              <w:rPr>
                <w:sz w:val="20"/>
                <w:szCs w:val="20"/>
              </w:rPr>
              <w:lastRenderedPageBreak/>
              <w:t>максимального балла за выполнение заданий базового уровня.</w:t>
            </w:r>
          </w:p>
        </w:tc>
      </w:tr>
      <w:tr w:rsidR="0076079F" w:rsidRPr="0076079F" w:rsidTr="00D41BEB">
        <w:tc>
          <w:tcPr>
            <w:tcW w:w="598" w:type="pct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lastRenderedPageBreak/>
              <w:t>Условия и границы применения системы оценки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>В соответствии с требованиями Стандарта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</w:t>
            </w:r>
          </w:p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  <w:r w:rsidRPr="0076079F">
              <w:rPr>
                <w:sz w:val="20"/>
                <w:szCs w:val="20"/>
              </w:rPr>
              <w:t xml:space="preserve">Оценка личностных результатов образовательной деятельности осуществляется в ходе внешних </w:t>
            </w:r>
            <w:proofErr w:type="spellStart"/>
            <w:r w:rsidRPr="0076079F">
              <w:rPr>
                <w:sz w:val="20"/>
                <w:szCs w:val="20"/>
              </w:rPr>
              <w:t>неперсонифицированных</w:t>
            </w:r>
            <w:proofErr w:type="spellEnd"/>
            <w:r w:rsidRPr="0076079F">
              <w:rPr>
                <w:sz w:val="20"/>
                <w:szCs w:val="20"/>
              </w:rPr>
              <w:t xml:space="preserve"> мониторинговых исследований на основе централизованно разработанного инструментария. К их проведению должны быть привлечены специалисты, не работающие в данном образовательном учреждении и обладающие необходимой компетентностью в сфере психологической диагностики развития личности в детском и подростковом возрасте.</w:t>
            </w: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pct"/>
            <w:shd w:val="clear" w:color="auto" w:fill="auto"/>
          </w:tcPr>
          <w:p w:rsidR="0076079F" w:rsidRPr="0076079F" w:rsidRDefault="0076079F" w:rsidP="00D41BEB">
            <w:pPr>
              <w:rPr>
                <w:sz w:val="20"/>
                <w:szCs w:val="20"/>
              </w:rPr>
            </w:pPr>
          </w:p>
        </w:tc>
      </w:tr>
    </w:tbl>
    <w:p w:rsidR="00264FD0" w:rsidRPr="0076079F" w:rsidRDefault="00264FD0">
      <w:pPr>
        <w:rPr>
          <w:sz w:val="20"/>
          <w:szCs w:val="20"/>
        </w:rPr>
      </w:pPr>
    </w:p>
    <w:sectPr w:rsidR="00264FD0" w:rsidRPr="0076079F" w:rsidSect="007607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250A7"/>
    <w:multiLevelType w:val="hybridMultilevel"/>
    <w:tmpl w:val="160411A2"/>
    <w:lvl w:ilvl="0" w:tplc="DB201B76">
      <w:start w:val="1"/>
      <w:numFmt w:val="decimal"/>
      <w:lvlText w:val="%1)"/>
      <w:lvlJc w:val="left"/>
      <w:pPr>
        <w:tabs>
          <w:tab w:val="num" w:pos="794"/>
        </w:tabs>
        <w:ind w:left="0" w:firstLine="51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68BB2B0C"/>
    <w:multiLevelType w:val="hybridMultilevel"/>
    <w:tmpl w:val="34A02BFA"/>
    <w:lvl w:ilvl="0" w:tplc="A1BC499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6079F"/>
    <w:rsid w:val="00264FD0"/>
    <w:rsid w:val="00494FF5"/>
    <w:rsid w:val="0076079F"/>
    <w:rsid w:val="0086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1227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2014-04-15T23:28:00Z</dcterms:created>
  <dcterms:modified xsi:type="dcterms:W3CDTF">2014-04-15T23:30:00Z</dcterms:modified>
</cp:coreProperties>
</file>